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ДОПОЛНИТЕЛЬНОЕ СОГЛАШЕНИЕ №</w:t>
      </w:r>
      <w:r w:rsidDel="00000000" w:rsidR="00000000" w:rsidRPr="00000000">
        <w:rPr>
          <w:b w:val="1"/>
          <w:sz w:val="20"/>
          <w:szCs w:val="20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00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 ДОГОВОРУ  _____от «_____» _________ 202</w:t>
      </w:r>
      <w:r w:rsidDel="00000000" w:rsidR="00000000" w:rsidRPr="00000000">
        <w:rPr>
          <w:sz w:val="20"/>
          <w:szCs w:val="20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«_____» ____________________ 202</w:t>
      </w:r>
      <w:r w:rsidDel="00000000" w:rsidR="00000000" w:rsidRPr="00000000">
        <w:rPr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Rule="auto"/>
        <w:jc w:val="both"/>
        <w:rPr/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ООО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ВодоходЪ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», реестровый номер 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№</w:t>
      </w:r>
      <w:r w:rsidDel="00000000" w:rsidR="00000000" w:rsidRPr="00000000">
        <w:rPr>
          <w:rFonts w:ascii="Times" w:cs="Times" w:eastAsia="Times" w:hAnsi="Times"/>
          <w:b w:val="1"/>
          <w:color w:val="434343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РТО 002057</w:t>
      </w:r>
      <w:r w:rsidDel="00000000" w:rsidR="00000000" w:rsidRPr="00000000">
        <w:rPr>
          <w:rFonts w:ascii="Times" w:cs="Times" w:eastAsia="Times" w:hAnsi="Times"/>
          <w:color w:val="434343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в Едином Федеральном реестре туроператоров, именуемое в дальнейшем «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ПРИНЦИПАЛ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», в лице руководителя отдела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партнерских продаж и коммерческих продуктов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, Лобачёвой А.М, действующего на основании доверенности № 5-04/21/1 от  21.01.2021, с одной стороны, и «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АГЕНТ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», с другой стороны, при совместном упоминании в дальнейшем именуемые «Стороны», заключили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настоящее Дополнительное соглашение к Договору ______от «___» _____ 202</w:t>
      </w:r>
      <w:r w:rsidDel="00000000" w:rsidR="00000000" w:rsidRPr="00000000">
        <w:rPr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г.  (далее –Договор)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  В рамках применения программы «Кешбэк по карте МИР» по развитию туризма в России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АГЕНТ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обязуется совершать от своего имени и по поручению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ПРИНЦИПАЛА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действия по продвижению сформированных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ПРИНЦИПАЛОМ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туристских продуктов – оздоровительных туров на теплоходах-пансионатах, а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ПРИНЦИПАЛ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обязуется выплачивать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АГЕНТУ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вознаграждение, состав, размер и порядок выплаты которого определяется настоящим договором.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Срок действия программы с </w:t>
      </w:r>
      <w:r w:rsidDel="00000000" w:rsidR="00000000" w:rsidRPr="00000000">
        <w:rPr>
          <w:sz w:val="20"/>
          <w:szCs w:val="20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.0</w:t>
      </w: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и до </w:t>
      </w:r>
      <w:r w:rsidDel="00000000" w:rsidR="00000000" w:rsidRPr="00000000">
        <w:rPr>
          <w:sz w:val="20"/>
          <w:szCs w:val="20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06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– период, в рамках которого могут быть реализованы туристические продукты. Период продажи туристических продуктов в рамках программы с 1</w:t>
      </w:r>
      <w:r w:rsidDel="00000000" w:rsidR="00000000" w:rsidRPr="00000000">
        <w:rPr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.0</w:t>
      </w: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до 1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.0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3. Действия по продвижению сформированных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ПРИНЦИПАЛОМ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туристских продуктов – оздоровительных туров на теплоходах-пансионатах и продвигаемых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ПРИНЦИПАЛОМ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включают в себя в том числе, но не ограничиваясь: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Размещение в сети интернет информации о программе «Кешбэк по карте МИР» по развитию туризма в России в целях привлечения конечных потребителей услуг к реализации указанной программы путем заключения ими соответствующих договоров о реализации туристических продуктов непосредственно с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ПРИНЦИПАЛОМ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поиском конечных потребителей в том числе путем информационных рассылок в рамках имеющихся баз клиентов;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информирование конечных потребителей туристических услуг об условиях применения программы «Кешбэк по карте МИР», порядок и сроки участия в программе, перечень направлений;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условия туристического продукта (маршрут, даты, направление, услуги);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предоставление конечным потребителям туристических услуг ссылки на размещение оферты от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ПРИНЦИПАЛА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»,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на подписание договора о реализации туристических услуг в рамках реализации программы «Кешбэк по карте МИР» с возможностью он-лайн оплаты туристических услуг на сайте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ПРИНЦИПАЛА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» www.vodohod.com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предоставление иной необходимой и достаточной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АГЕНТ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обязан предоставить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ПРИНЦИПАЛУ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Отчет, включающий в себя список пассажиров, фактически заключивших договоры о реализации оздоровительных туристических услуг на теплоходах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ПРИНЦИПАЛА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 рамках реализации программы «Кешбэк по карте МИР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по форме, утвержденной Приложением – «Образец Отчет Агента» к основному договору. Отчет предоставляется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АГЕНТОМ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по окончании срока туристических продуктов оздоровительных туров на соответствующих теплоходах-пансионатах в конце месяца окончания рейсов каждого из них.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ПРИНЦИПАЛ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при получении Отчета направляет его подтверждение либо мотивированный отказ от подтверждения в течение 5 (пяти) рабочих дней после получения Отчета.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Подтверждение Отчета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ПРИНЦИПАЛА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является основанием к выплате агентского вознаграждения в рамках настоящего Дополнительного соглашения.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 Размер вознаграждения равен размеру вознаграждения, указанному в Договоре </w:t>
      </w:r>
      <w:r w:rsidDel="00000000" w:rsidR="00000000" w:rsidRPr="00000000">
        <w:rPr>
          <w:sz w:val="20"/>
          <w:szCs w:val="20"/>
          <w:rtl w:val="0"/>
        </w:rPr>
        <w:t xml:space="preserve">_______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«_____» ________ 202 г. Вознаграждение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АГЕНТА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рассчитывается от итоговой стоимости реализованного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ПРИНЦИПАЛОМ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потребителю оздоровительного тура после вычета суммы всех предоставляемых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ПРИНЦИПАЛОМ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скидок (сезонных, при раннем бронировании и т. п.) и расходов на эквайринг.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6. Выплата агентского вознаграждения осуществляется в течение 30 (тридцати) рабочих дней с даты подтверждения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ПРИНЦИПАЛОМ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Отчета Агента по окончании срока туристических продуктов оздоровительных туров на соответствующих теплоходах-пансионатах, по окончании рейсов каждого из них на основании предоставленных Отчетов по выставленным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АГЕНТОМ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счетам.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7. Во всем остальном, что не оговорено настоящим Дополнительным соглашением, Стороны руководствуются Договором ______ от «___» ________ 202</w:t>
      </w:r>
      <w:r w:rsidDel="00000000" w:rsidR="00000000" w:rsidRPr="00000000">
        <w:rPr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г.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8. Настоящее Дополнительное соглашение составлено в двух идентичных экземплярах по одному для каждой из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9. Настоящее Дополнительное соглашение вступает в силу с даты его подписания и действует до фактического исполнения обязательств Сторонами.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10.  Все документы, подлежащие подписанию Сторонами, а также уведомления и сообщения в рамках настоящего Дополнительного соглашения должны направляться Сторонами друг другу в письменной форме.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АГЕНТ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обязуется передавать любую документацию, оформляемую в рамках настоящего Дополнительного соглашения, любым из нижеуказанных способов: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путем непосредственной передачи документации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ПРИНЦИПАЛУ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по адресу, указанному в разделе «Реквизиты сторон». Вся передаваемая в рамках настоящего Дополнительного соглашения документация должна передаваться с сопроводительным письмом, содержащим перечень передаваемой документации.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путем обмена электронными сообщениями с использованием электронных адресов, указанных в разделе «Реквизиты сторон». Документы, полученные данным образом, имеют юридическую силу до получения подлинников, которые должны быть направлены соответствующей Стороной в течение 5 (пяти) календарных дней с даты обмена документами указанным способом.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Стороны признают надлежащими скан-копии и факсимильные копии настоящего Дополнительного соглашения вплоть до обмена оригиналами. Отправка настоящего Дополнительного соглашения по электронной почте Сторон, указанной в реквизитах сторон, признается юридически надлежащей и влечет для Сторон права и обязанности, вытекающие их настоящего Дополнительного соглашения вплоть до обмена оригиналами.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11. Приложения: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00" w:before="10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color w:val="6e86ff"/>
          <w:sz w:val="20"/>
          <w:szCs w:val="20"/>
          <w:rtl w:val="0"/>
        </w:rPr>
        <w:t xml:space="preserve">Образец Отчета Агента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Все приложения к настоящему Дополнительному соглашению являются его неотъемлемой частью.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РЕКВИЗИТЫ СТОРОН</w:t>
      </w: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45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90"/>
        <w:gridCol w:w="4710"/>
        <w:tblGridChange w:id="0">
          <w:tblGrid>
            <w:gridCol w:w="5490"/>
            <w:gridCol w:w="47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0"/>
                <w:szCs w:val="20"/>
                <w:rtl w:val="0"/>
              </w:rPr>
              <w:t xml:space="preserve">ПРИНЦИПАЛ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0"/>
                <w:szCs w:val="20"/>
                <w:rtl w:val="0"/>
              </w:rPr>
              <w:t xml:space="preserve">ООО «ВодоходЪ»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Реестровый номер: РТО 002057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Место нахождения: 125040, Москва г, Ленинградский пр-кт, дом № 15, строение 14, оф.5, тел. +7 (800) 7754039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ОГРН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1047796094697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 /ИНН 7707511820 / КПП 771401001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Банковские реквизиты: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р/с 40702810790160002083,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в банке ПАО "БАНК "САНКТ-ПЕТЕРБУРГ",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БИК 044030790, к/с 30101810900000000790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Для отправки подписанного приложения: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agent@vodohod.ru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Для отправки отчёта агента: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ogrishina@vodohod.ru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отдела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партнерских продаж и коммерческих продуктов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ОО «ВодоходЪ»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  (Лобачёва А.М.)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М .П.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" w:cs="Times" w:eastAsia="Times" w:hAnsi="Time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АГЕНТ: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Место нахождения: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ОГРН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 ИНН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 КПП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Банковские реквизиты: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р/с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в банке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БИК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к/с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  (_________________)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М .П.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" w:cs="Times" w:eastAsia="Times" w:hAnsi="Time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059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3K1AG1S6EGCPSqLEk666ffwX+g==">AMUW2mXwuc93wCI/1IDtn/CcrMMtAKt5XkwCpIYrI5lhuFUcdGdtix1Pc1Xn56yzdwG8P7q0qFGVug2ncZ60F9ThzcsLFm48k7KVDAsS/mYv0UP5GLOFNTsNc8D51FTB/5jdiX8B+Sk5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2021-09-01T07:42:00Z</dcterms:created>
  <dc:creator>Анна Елесина</dc:creator>
</cp:coreProperties>
</file>